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C" w:rsidRPr="00A510CA" w:rsidRDefault="00307CBB" w:rsidP="00307CBB">
      <w:pPr>
        <w:jc w:val="center"/>
        <w:rPr>
          <w:rFonts w:ascii="Comic Sans MS" w:hAnsi="Comic Sans MS"/>
          <w:sz w:val="22"/>
          <w:szCs w:val="22"/>
          <w:u w:val="single"/>
        </w:rPr>
      </w:pPr>
      <w:r>
        <w:rPr>
          <w:rFonts w:ascii="Comic Sans MS" w:hAnsi="Comic Sans MS"/>
          <w:b/>
          <w:bCs/>
          <w:sz w:val="22"/>
          <w:szCs w:val="22"/>
          <w:u w:val="single"/>
        </w:rPr>
        <w:t>Fact Sheet</w:t>
      </w:r>
      <w:r>
        <w:rPr>
          <w:rFonts w:ascii="Comic Sans MS" w:hAnsi="Comic Sans MS"/>
          <w:b/>
          <w:sz w:val="22"/>
          <w:szCs w:val="22"/>
          <w:u w:val="single"/>
        </w:rPr>
        <w:t>: Support</w:t>
      </w:r>
      <w:r w:rsidR="00A510CA" w:rsidRPr="00A510CA">
        <w:rPr>
          <w:rFonts w:ascii="Comic Sans MS" w:hAnsi="Comic Sans MS"/>
          <w:b/>
          <w:sz w:val="22"/>
          <w:szCs w:val="22"/>
          <w:u w:val="single"/>
        </w:rPr>
        <w:t xml:space="preserve"> Lifting the Ban on Food Stamps</w:t>
      </w:r>
    </w:p>
    <w:p w:rsidR="00FE0C59" w:rsidRDefault="00FE0C59" w:rsidP="00BD0B2C">
      <w:pPr>
        <w:rPr>
          <w:rFonts w:ascii="Comic Sans MS" w:hAnsi="Comic Sans MS"/>
          <w:szCs w:val="20"/>
        </w:rPr>
      </w:pPr>
    </w:p>
    <w:p w:rsidR="00BD0B2C" w:rsidRPr="00A510CA" w:rsidRDefault="00BD0B2C" w:rsidP="00BD0B2C">
      <w:pPr>
        <w:rPr>
          <w:rFonts w:ascii="Comic Sans MS" w:hAnsi="Comic Sans MS"/>
          <w:sz w:val="22"/>
          <w:szCs w:val="22"/>
        </w:rPr>
      </w:pPr>
      <w:r w:rsidRPr="00BD0B2C">
        <w:rPr>
          <w:rFonts w:ascii="Comic Sans MS" w:hAnsi="Comic Sans MS"/>
          <w:szCs w:val="20"/>
        </w:rPr>
        <w:t>1) Virginia is 1 of 25 states that has a modifie</w:t>
      </w:r>
      <w:bookmarkStart w:id="0" w:name="_GoBack"/>
      <w:bookmarkEnd w:id="0"/>
      <w:r w:rsidRPr="00BD0B2C">
        <w:rPr>
          <w:rFonts w:ascii="Comic Sans MS" w:hAnsi="Comic Sans MS"/>
          <w:szCs w:val="20"/>
        </w:rPr>
        <w:t>d ban on food stamps for those convicted of a drug felony.</w:t>
      </w:r>
    </w:p>
    <w:p w:rsidR="00BD0B2C" w:rsidRPr="00BD0B2C" w:rsidRDefault="00BD0B2C" w:rsidP="00BD0B2C">
      <w:pPr>
        <w:rPr>
          <w:rFonts w:ascii="Comic Sans MS" w:hAnsi="Comic Sans MS"/>
          <w:szCs w:val="20"/>
        </w:rPr>
      </w:pPr>
    </w:p>
    <w:p w:rsidR="00BD0B2C" w:rsidRPr="00BD0B2C" w:rsidRDefault="00BD0B2C" w:rsidP="00BD0B2C">
      <w:pPr>
        <w:rPr>
          <w:rFonts w:ascii="Comic Sans MS" w:hAnsi="Comic Sans MS"/>
          <w:szCs w:val="20"/>
        </w:rPr>
      </w:pPr>
      <w:r w:rsidRPr="00BD0B2C">
        <w:rPr>
          <w:rFonts w:ascii="Comic Sans MS" w:hAnsi="Comic Sans MS"/>
          <w:szCs w:val="20"/>
        </w:rPr>
        <w:t>2) 16 states have no ban on food stamps for those convicted of a drug felony,and 9 have a full ban.</w:t>
      </w:r>
    </w:p>
    <w:p w:rsidR="00BD0B2C" w:rsidRPr="00BD0B2C" w:rsidRDefault="00BD0B2C" w:rsidP="00BD0B2C">
      <w:pPr>
        <w:rPr>
          <w:rFonts w:ascii="Comic Sans MS" w:hAnsi="Comic Sans MS"/>
          <w:szCs w:val="20"/>
        </w:rPr>
      </w:pPr>
    </w:p>
    <w:p w:rsidR="00BD0B2C" w:rsidRPr="00BD0B2C" w:rsidRDefault="00BD0B2C" w:rsidP="00BD0B2C">
      <w:pPr>
        <w:rPr>
          <w:rFonts w:ascii="Comic Sans MS" w:hAnsi="Comic Sans MS"/>
          <w:szCs w:val="20"/>
        </w:rPr>
      </w:pPr>
      <w:r w:rsidRPr="00BD0B2C">
        <w:rPr>
          <w:rFonts w:ascii="Comic Sans MS" w:hAnsi="Comic Sans MS"/>
          <w:szCs w:val="20"/>
        </w:rPr>
        <w:t xml:space="preserve">3) </w:t>
      </w:r>
      <w:r w:rsidRPr="00BD0B2C">
        <w:rPr>
          <w:rFonts w:ascii="Comic Sans MS" w:hAnsi="Comic Sans MS" w:cs="AppleSystemUIFont"/>
          <w:color w:val="353535"/>
          <w:szCs w:val="20"/>
          <w:lang w:eastAsia="ja-JP"/>
        </w:rPr>
        <w:t>The lifetime ban in Virginia is for drug distribution resulting in a felony conviction, not drug possession. The ban on food stamps for drug possession was lifted in 2005.</w:t>
      </w:r>
    </w:p>
    <w:p w:rsidR="00BD0B2C" w:rsidRPr="00BD0B2C" w:rsidRDefault="00BD0B2C" w:rsidP="00BD0B2C">
      <w:pPr>
        <w:pStyle w:val="NormalWeb"/>
        <w:rPr>
          <w:rFonts w:ascii="Comic Sans MS" w:hAnsi="Comic Sans MS"/>
        </w:rPr>
      </w:pPr>
      <w:r w:rsidRPr="00BD0B2C">
        <w:rPr>
          <w:rFonts w:ascii="Comic Sans MS" w:hAnsi="Comic Sans MS"/>
        </w:rPr>
        <w:t xml:space="preserve">4) </w:t>
      </w:r>
      <w:r w:rsidRPr="00BD0B2C">
        <w:rPr>
          <w:rFonts w:ascii="Comic Sans MS" w:hAnsi="Comic Sans MS"/>
          <w:color w:val="3F3F3F"/>
        </w:rPr>
        <w:t>The ban has not been shown to decrease drug use. Furthermore, by raising a new substantial barrier to successful reentry, the ban may actually harm public safety and public health, while contributing to swollen prison populations.</w:t>
      </w:r>
    </w:p>
    <w:p w:rsidR="00BD0B2C" w:rsidRPr="00BD0B2C" w:rsidRDefault="00BD0B2C" w:rsidP="00BD0B2C">
      <w:pPr>
        <w:pStyle w:val="NormalWeb"/>
        <w:rPr>
          <w:rFonts w:ascii="Comic Sans MS" w:hAnsi="Comic Sans MS"/>
        </w:rPr>
      </w:pPr>
      <w:r w:rsidRPr="00BD0B2C">
        <w:rPr>
          <w:rFonts w:ascii="Comic Sans MS" w:hAnsi="Comic Sans MS"/>
        </w:rPr>
        <w:t xml:space="preserve">5) </w:t>
      </w:r>
      <w:r w:rsidRPr="00BD0B2C">
        <w:rPr>
          <w:rFonts w:ascii="Comic Sans MS" w:hAnsi="Comic Sans MS"/>
          <w:color w:val="3F3F3F"/>
        </w:rPr>
        <w:t xml:space="preserve">For formerly incarcerated individuals transitioning back to their home communities, SNAP and TANF benefits help meet their basic survival needs while searching for jobs or housing. The programs reduce the likelihood that formerly incarcerated individuals will return to criminal activity to secure food or other essentials for themselves or their families. </w:t>
      </w:r>
    </w:p>
    <w:p w:rsidR="00BD0B2C" w:rsidRPr="00BD0B2C" w:rsidRDefault="00BD0B2C" w:rsidP="00BD0B2C">
      <w:pPr>
        <w:pStyle w:val="NormalWeb"/>
        <w:rPr>
          <w:rFonts w:ascii="Comic Sans MS" w:hAnsi="Comic Sans MS"/>
        </w:rPr>
      </w:pPr>
      <w:r w:rsidRPr="00BD0B2C">
        <w:rPr>
          <w:rFonts w:ascii="Comic Sans MS" w:hAnsi="Comic Sans MS"/>
        </w:rPr>
        <w:t xml:space="preserve">6) </w:t>
      </w:r>
      <w:r w:rsidRPr="00BD0B2C">
        <w:rPr>
          <w:rFonts w:ascii="Comic Sans MS" w:hAnsi="Comic Sans MS"/>
          <w:color w:val="3F3F3F"/>
        </w:rPr>
        <w:t xml:space="preserve">Restrictions on SNAP and TANF benefits are also counterproductive for providing drug treatment services. Historically, drug treatment facilities have used their patients’ SNAP and TANF benefits to subsidize the cost of treatment. </w:t>
      </w:r>
    </w:p>
    <w:p w:rsidR="00BD0B2C" w:rsidRPr="00BD0B2C" w:rsidRDefault="00BD0B2C" w:rsidP="00BD0B2C">
      <w:pPr>
        <w:pStyle w:val="NormalWeb"/>
        <w:rPr>
          <w:rFonts w:ascii="Comic Sans MS" w:hAnsi="Comic Sans MS"/>
        </w:rPr>
      </w:pPr>
      <w:r w:rsidRPr="00BD0B2C">
        <w:rPr>
          <w:rFonts w:ascii="Comic Sans MS" w:hAnsi="Comic Sans MS"/>
        </w:rPr>
        <w:t xml:space="preserve">7) </w:t>
      </w:r>
      <w:r w:rsidRPr="00BD0B2C">
        <w:rPr>
          <w:rFonts w:ascii="Comic Sans MS" w:hAnsi="Comic Sans MS"/>
          <w:color w:val="3F3F3F"/>
        </w:rPr>
        <w:t xml:space="preserve">The ban has not been shown to decrease drug use, and there is no evidence to date that any harm caused by the ban has been offset by the realization of significant positive outcomes for public safety. </w:t>
      </w:r>
    </w:p>
    <w:p w:rsidR="00BD0B2C" w:rsidRPr="00BD0B2C" w:rsidRDefault="00BD0B2C" w:rsidP="00BD0B2C">
      <w:pPr>
        <w:rPr>
          <w:rFonts w:ascii="Comic Sans MS" w:hAnsi="Comic Sans MS"/>
          <w:b/>
          <w:i/>
          <w:color w:val="000000"/>
          <w:szCs w:val="20"/>
        </w:rPr>
      </w:pPr>
      <w:r w:rsidRPr="00BD0B2C">
        <w:rPr>
          <w:rFonts w:ascii="Comic Sans MS" w:hAnsi="Comic Sans MS"/>
          <w:szCs w:val="20"/>
        </w:rPr>
        <w:t xml:space="preserve">8) </w:t>
      </w:r>
      <w:r w:rsidRPr="00BD0B2C">
        <w:rPr>
          <w:rFonts w:ascii="Comic Sans MS" w:hAnsi="Comic Sans MS"/>
          <w:color w:val="000000"/>
          <w:szCs w:val="20"/>
        </w:rPr>
        <w:t>The ban negatively impacts children</w:t>
      </w:r>
      <w:r w:rsidRPr="00BD0B2C">
        <w:rPr>
          <w:rFonts w:ascii="Comic Sans MS" w:hAnsi="Comic Sans MS"/>
          <w:b/>
          <w:i/>
          <w:color w:val="000000"/>
          <w:szCs w:val="20"/>
        </w:rPr>
        <w:t xml:space="preserve">. </w:t>
      </w:r>
      <w:r w:rsidRPr="00BD0B2C">
        <w:rPr>
          <w:rFonts w:ascii="Comic Sans MS" w:hAnsi="Comic Sans MS"/>
          <w:color w:val="000000"/>
          <w:szCs w:val="20"/>
        </w:rPr>
        <w:t xml:space="preserve">When a parent is denied cash assistance or food stamps, children suffer. A family's funds go toward caring for the entire family, not only the individuals who qualify for federal assistance. Food stamps and cash support are essential for the health, survival and stability of families. </w:t>
      </w:r>
    </w:p>
    <w:p w:rsidR="00BD0B2C" w:rsidRPr="00BD0B2C" w:rsidRDefault="00BD0B2C" w:rsidP="00BD0B2C">
      <w:pPr>
        <w:pStyle w:val="NormalWeb"/>
        <w:rPr>
          <w:rFonts w:ascii="Comic Sans MS" w:hAnsi="Comic Sans MS"/>
        </w:rPr>
      </w:pPr>
      <w:r w:rsidRPr="00BD0B2C">
        <w:rPr>
          <w:rFonts w:ascii="Comic Sans MS" w:hAnsi="Comic Sans MS"/>
        </w:rPr>
        <w:t>9) The ban punishes individuals and their families twice for the same crime</w:t>
      </w:r>
      <w:r w:rsidRPr="00BD0B2C">
        <w:rPr>
          <w:rFonts w:ascii="Comic Sans MS" w:hAnsi="Comic Sans MS"/>
          <w:b/>
          <w:i/>
        </w:rPr>
        <w:t>.</w:t>
      </w:r>
      <w:r w:rsidRPr="00BD0B2C">
        <w:rPr>
          <w:rFonts w:ascii="Comic Sans MS" w:hAnsi="Comic Sans MS"/>
        </w:rPr>
        <w:t xml:space="preserve"> </w:t>
      </w:r>
      <w:r w:rsidRPr="00BD0B2C">
        <w:rPr>
          <w:rFonts w:ascii="Comic Sans MS" w:hAnsi="Comic Sans MS"/>
          <w:b/>
          <w:i/>
        </w:rPr>
        <w:t>This is vengeance, not justice.</w:t>
      </w:r>
      <w:r w:rsidRPr="00BD0B2C">
        <w:rPr>
          <w:rFonts w:ascii="Comic Sans MS" w:hAnsi="Comic Sans MS"/>
        </w:rPr>
        <w:t xml:space="preserve"> Those impacted by this ban have already paid whatever price the criminal justice system demands of them.  The ban provision represents additional punishment that limits the families’ ability to get needed transitional assistance for self-sufficiency.  </w:t>
      </w:r>
      <w:r w:rsidRPr="00BD0B2C">
        <w:rPr>
          <w:rFonts w:ascii="Comic Sans MS" w:hAnsi="Comic Sans MS"/>
          <w:b/>
          <w:u w:val="single"/>
        </w:rPr>
        <w:t>SEE ATTACHED LETTER</w:t>
      </w:r>
      <w:r w:rsidRPr="00BD0B2C">
        <w:rPr>
          <w:rFonts w:ascii="Comic Sans MS" w:hAnsi="Comic Sans MS"/>
        </w:rPr>
        <w:t>.</w:t>
      </w:r>
    </w:p>
    <w:p w:rsidR="00BD0B2C" w:rsidRPr="00BD0B2C" w:rsidRDefault="00BD0B2C" w:rsidP="00BD0B2C">
      <w:pPr>
        <w:pStyle w:val="NormalWeb"/>
      </w:pPr>
      <w:r w:rsidRPr="00BD0B2C">
        <w:rPr>
          <w:rFonts w:ascii="Comic Sans MS" w:hAnsi="Comic Sans MS"/>
        </w:rPr>
        <w:t xml:space="preserve">10) </w:t>
      </w:r>
      <w:r w:rsidRPr="00BD0B2C">
        <w:rPr>
          <w:rFonts w:ascii="Comic Sans MS" w:hAnsi="Comic Sans MS"/>
          <w:color w:val="3F3F3F"/>
        </w:rPr>
        <w:t>Among other incongruous effects, the ban is inconsistent with Congressional support for reentry services through funding provided by the Second Chance Act, as well as current policy recommendations of the Federal Interagency Reentry Council.</w:t>
      </w:r>
    </w:p>
    <w:p w:rsidR="00D7758E" w:rsidRPr="00BD0B2C" w:rsidRDefault="00D7758E">
      <w:pPr>
        <w:rPr>
          <w:b/>
          <w:bCs/>
          <w:szCs w:val="20"/>
        </w:rPr>
      </w:pPr>
    </w:p>
    <w:p w:rsidR="00D7758E" w:rsidRPr="00BD0B2C" w:rsidRDefault="00D7758E">
      <w:pPr>
        <w:rPr>
          <w:b/>
          <w:bCs/>
          <w:szCs w:val="20"/>
        </w:rPr>
      </w:pPr>
    </w:p>
    <w:p w:rsidR="00D7758E" w:rsidRPr="00BD0B2C" w:rsidRDefault="00D7758E">
      <w:pPr>
        <w:rPr>
          <w:b/>
          <w:bCs/>
          <w:szCs w:val="20"/>
        </w:rPr>
      </w:pPr>
    </w:p>
    <w:p w:rsidR="00D7758E" w:rsidRPr="00BD0B2C" w:rsidRDefault="00D7758E">
      <w:pPr>
        <w:rPr>
          <w:b/>
          <w:bCs/>
          <w:szCs w:val="20"/>
        </w:rPr>
      </w:pPr>
    </w:p>
    <w:p w:rsidR="00D7758E" w:rsidRPr="00BD0B2C" w:rsidRDefault="00D7758E">
      <w:pPr>
        <w:rPr>
          <w:b/>
          <w:bCs/>
          <w:szCs w:val="20"/>
        </w:rPr>
      </w:pPr>
    </w:p>
    <w:p w:rsidR="00D7758E" w:rsidRPr="00BD0B2C" w:rsidRDefault="00D7758E">
      <w:pPr>
        <w:rPr>
          <w:b/>
          <w:bCs/>
          <w:szCs w:val="20"/>
        </w:rPr>
      </w:pPr>
    </w:p>
    <w:p w:rsidR="00D7758E" w:rsidRPr="00BD0B2C" w:rsidRDefault="00D7758E">
      <w:pPr>
        <w:rPr>
          <w:b/>
          <w:bCs/>
          <w:szCs w:val="20"/>
        </w:rPr>
      </w:pPr>
    </w:p>
    <w:p w:rsidR="00D7758E" w:rsidRPr="00BD0B2C" w:rsidRDefault="00D7758E">
      <w:pPr>
        <w:rPr>
          <w:b/>
          <w:bCs/>
          <w:szCs w:val="20"/>
        </w:rPr>
      </w:pPr>
    </w:p>
    <w:p w:rsidR="00D7758E" w:rsidRPr="00BD0B2C" w:rsidRDefault="00D7758E">
      <w:pPr>
        <w:rPr>
          <w:b/>
          <w:bCs/>
          <w:szCs w:val="20"/>
        </w:rPr>
      </w:pPr>
    </w:p>
    <w:p w:rsidR="00D7758E" w:rsidRPr="00BD0B2C" w:rsidRDefault="00D7758E">
      <w:pPr>
        <w:rPr>
          <w:b/>
          <w:bCs/>
          <w:szCs w:val="20"/>
        </w:rPr>
      </w:pPr>
    </w:p>
    <w:p w:rsidR="00D7758E" w:rsidRPr="00BD0B2C" w:rsidRDefault="00D7758E">
      <w:pPr>
        <w:rPr>
          <w:b/>
          <w:bCs/>
          <w:szCs w:val="20"/>
        </w:rPr>
      </w:pPr>
    </w:p>
    <w:p w:rsidR="00D7758E" w:rsidRPr="00BD0B2C" w:rsidRDefault="00D7758E">
      <w:pPr>
        <w:rPr>
          <w:b/>
          <w:bCs/>
          <w:szCs w:val="20"/>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D7758E" w:rsidRDefault="00D7758E">
      <w:pPr>
        <w:rPr>
          <w:b/>
          <w:bCs/>
          <w:sz w:val="24"/>
        </w:rPr>
      </w:pPr>
    </w:p>
    <w:p w:rsidR="004B2070" w:rsidRDefault="004B2070">
      <w:pPr>
        <w:rPr>
          <w:b/>
          <w:bCs/>
          <w:sz w:val="24"/>
        </w:rPr>
        <w:sectPr w:rsidR="004B2070" w:rsidSect="00BC7973">
          <w:headerReference w:type="default" r:id="rId9"/>
          <w:footerReference w:type="default" r:id="rId10"/>
          <w:type w:val="continuous"/>
          <w:pgSz w:w="12240" w:h="15840"/>
          <w:pgMar w:top="1886" w:right="1440" w:bottom="1800" w:left="1440" w:header="994" w:footer="720" w:gutter="0"/>
          <w:cols w:space="720"/>
          <w:docGrid w:linePitch="360"/>
        </w:sectPr>
      </w:pPr>
    </w:p>
    <w:p w:rsidR="00D7758E" w:rsidRDefault="00D7758E">
      <w:pPr>
        <w:rPr>
          <w:b/>
          <w:bCs/>
          <w:sz w:val="24"/>
        </w:rPr>
      </w:pPr>
    </w:p>
    <w:p w:rsidR="00356DA5" w:rsidRDefault="001A054E">
      <w:pPr>
        <w:rPr>
          <w:b/>
          <w:bCs/>
          <w:sz w:val="24"/>
        </w:rPr>
      </w:pPr>
      <w:r>
        <w:rPr>
          <w:b/>
          <w:bCs/>
          <w:sz w:val="24"/>
        </w:rPr>
        <w:br w:type="page"/>
      </w: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9961ED" w:rsidRDefault="009961ED">
      <w:pPr>
        <w:rPr>
          <w:b/>
          <w:bCs/>
          <w:sz w:val="24"/>
        </w:rPr>
      </w:pPr>
    </w:p>
    <w:p w:rsidR="008222D2" w:rsidRDefault="008222D2">
      <w:pPr>
        <w:rPr>
          <w:b/>
          <w:bCs/>
          <w:sz w:val="24"/>
        </w:rPr>
        <w:sectPr w:rsidR="008222D2" w:rsidSect="004B2070">
          <w:type w:val="continuous"/>
          <w:pgSz w:w="12240" w:h="15840"/>
          <w:pgMar w:top="1886" w:right="1440" w:bottom="1800" w:left="1440" w:header="994" w:footer="720" w:gutter="0"/>
          <w:cols w:space="720"/>
          <w:titlePg/>
          <w:docGrid w:linePitch="360"/>
        </w:sectPr>
      </w:pPr>
    </w:p>
    <w:p w:rsidR="004B2070" w:rsidRDefault="004B2070">
      <w:pPr>
        <w:rPr>
          <w:b/>
          <w:bCs/>
          <w:sz w:val="24"/>
        </w:rPr>
        <w:sectPr w:rsidR="004B2070" w:rsidSect="004B2070">
          <w:type w:val="continuous"/>
          <w:pgSz w:w="12240" w:h="15840"/>
          <w:pgMar w:top="1886" w:right="1440" w:bottom="1800" w:left="1440" w:header="994" w:footer="720" w:gutter="0"/>
          <w:cols w:space="720"/>
          <w:titlePg/>
          <w:docGrid w:linePitch="360"/>
        </w:sectPr>
      </w:pPr>
    </w:p>
    <w:p w:rsidR="009961ED" w:rsidRPr="000C39B1" w:rsidRDefault="009961ED">
      <w:pPr>
        <w:rPr>
          <w:b/>
          <w:bCs/>
          <w:sz w:val="24"/>
        </w:rPr>
      </w:pPr>
    </w:p>
    <w:sectPr w:rsidR="009961ED" w:rsidRPr="000C39B1" w:rsidSect="004B2070">
      <w:type w:val="continuous"/>
      <w:pgSz w:w="12240" w:h="15840"/>
      <w:pgMar w:top="1886" w:right="1440" w:bottom="1800" w:left="1440" w:header="99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AA" w:rsidRDefault="00C321AA" w:rsidP="00212C0E">
      <w:r>
        <w:separator/>
      </w:r>
    </w:p>
  </w:endnote>
  <w:endnote w:type="continuationSeparator" w:id="0">
    <w:p w:rsidR="00C321AA" w:rsidRDefault="00C321AA" w:rsidP="0021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D2" w:rsidRDefault="008222D2" w:rsidP="00212C0E">
    <w:pPr>
      <w:jc w:val="center"/>
      <w:rPr>
        <w:b/>
        <w:bCs/>
        <w:szCs w:val="20"/>
      </w:rPr>
    </w:pPr>
    <w:r>
      <w:rPr>
        <w:b/>
        <w:bCs/>
        <w:szCs w:val="20"/>
      </w:rPr>
      <w:t>_____________________________________________________________________________________________</w:t>
    </w:r>
  </w:p>
  <w:p w:rsidR="008222D2" w:rsidRDefault="008222D2" w:rsidP="00212C0E">
    <w:pPr>
      <w:jc w:val="center"/>
      <w:rPr>
        <w:b/>
        <w:bCs/>
        <w:szCs w:val="20"/>
      </w:rPr>
    </w:pPr>
  </w:p>
  <w:p w:rsidR="008222D2" w:rsidRDefault="008222D2" w:rsidP="00212C0E">
    <w:pPr>
      <w:jc w:val="center"/>
      <w:rPr>
        <w:b/>
        <w:bCs/>
        <w:szCs w:val="20"/>
      </w:rPr>
    </w:pPr>
    <w:r>
      <w:rPr>
        <w:b/>
        <w:bCs/>
        <w:szCs w:val="20"/>
      </w:rPr>
      <w:t xml:space="preserve">9610 Counsellor Dr.  •  Vienna, VA  22181  •  703-255-7074  •  E-mail:  </w:t>
    </w:r>
    <w:hyperlink r:id="rId1" w:history="1">
      <w:r>
        <w:rPr>
          <w:rStyle w:val="Hyperlink"/>
          <w:b/>
          <w:bCs/>
          <w:szCs w:val="20"/>
        </w:rPr>
        <w:t>jhorejsi@cox.net</w:t>
      </w:r>
    </w:hyperlink>
    <w:r>
      <w:rPr>
        <w:b/>
        <w:bCs/>
        <w:szCs w:val="20"/>
      </w:rPr>
      <w:t xml:space="preserve"> </w:t>
    </w:r>
  </w:p>
  <w:p w:rsidR="008222D2" w:rsidRDefault="008222D2" w:rsidP="00212C0E">
    <w:pPr>
      <w:jc w:val="center"/>
      <w:rPr>
        <w:b/>
        <w:bCs/>
        <w:szCs w:val="20"/>
      </w:rPr>
    </w:pPr>
    <w:r>
      <w:rPr>
        <w:b/>
        <w:bCs/>
        <w:szCs w:val="20"/>
      </w:rPr>
      <w:t>www.S-A-L-T.org</w:t>
    </w:r>
  </w:p>
  <w:p w:rsidR="008222D2" w:rsidRDefault="0082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AA" w:rsidRDefault="00C321AA" w:rsidP="00212C0E">
      <w:r>
        <w:separator/>
      </w:r>
    </w:p>
  </w:footnote>
  <w:footnote w:type="continuationSeparator" w:id="0">
    <w:p w:rsidR="00C321AA" w:rsidRDefault="00C321AA" w:rsidP="00212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D2" w:rsidRDefault="00C321AA" w:rsidP="00212C0E">
    <w:pPr>
      <w:jc w:val="center"/>
      <w:rPr>
        <w:rFonts w:ascii="Elephant" w:hAnsi="Elephant" w:cs="Arial"/>
        <w:b/>
        <w:sz w:val="36"/>
        <w:szCs w:val="36"/>
      </w:rPr>
    </w:pPr>
    <w:r>
      <w:rPr>
        <w:rFonts w:ascii="Elephant" w:hAnsi="Elephant"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http://www.s-a-l-t.org/templates/eys/images/salt_logo_large.gif" style="position:absolute;left:0;text-align:left;margin-left:-54pt;margin-top:-34.1pt;width:63pt;height:78.5pt;z-index:1;visibility:visible">
          <v:imagedata r:id="rId1" o:title="salt_logo_large"/>
          <w10:wrap type="square" side="left"/>
        </v:shape>
      </w:pict>
    </w:r>
    <w:r w:rsidR="008222D2">
      <w:rPr>
        <w:rFonts w:ascii="Elephant" w:hAnsi="Elephant" w:cs="Arial"/>
        <w:b/>
        <w:sz w:val="36"/>
        <w:szCs w:val="36"/>
      </w:rPr>
      <w:t>SOCIAL  ACTION  LINKING  TOGETHER</w:t>
    </w:r>
  </w:p>
  <w:p w:rsidR="008222D2" w:rsidRDefault="008222D2" w:rsidP="00212C0E">
    <w:pPr>
      <w:pStyle w:val="Header"/>
      <w:jc w:val="center"/>
    </w:pPr>
  </w:p>
  <w:p w:rsidR="008222D2" w:rsidRPr="009E71DB" w:rsidRDefault="009E71DB" w:rsidP="00212C0E">
    <w:pPr>
      <w:pStyle w:val="Header"/>
      <w:jc w:val="center"/>
      <w:rPr>
        <w:rFonts w:ascii="Comic Sans MS" w:hAnsi="Comic Sans MS"/>
        <w:b/>
        <w:i/>
        <w:szCs w:val="20"/>
      </w:rPr>
    </w:pPr>
    <w:r w:rsidRPr="009E71DB">
      <w:rPr>
        <w:rFonts w:ascii="Comic Sans MS" w:hAnsi="Comic Sans MS"/>
        <w:b/>
        <w:i/>
        <w:szCs w:val="20"/>
      </w:rPr>
      <w:t>The justice of a society can be measured by how the most vulnerable are faring and treated.</w:t>
    </w:r>
  </w:p>
  <w:p w:rsidR="008222D2" w:rsidRDefault="008222D2" w:rsidP="00212C0E">
    <w:pPr>
      <w:pStyle w:val="Header"/>
      <w:jc w:val="center"/>
    </w:pPr>
    <w: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ECD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A50F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4D16B22"/>
    <w:multiLevelType w:val="hybridMultilevel"/>
    <w:tmpl w:val="75E2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142A37"/>
    <w:multiLevelType w:val="hybridMultilevel"/>
    <w:tmpl w:val="765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AFB476B"/>
    <w:multiLevelType w:val="hybridMultilevel"/>
    <w:tmpl w:val="E7B6E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0C020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1A76E4C"/>
    <w:multiLevelType w:val="hybridMultilevel"/>
    <w:tmpl w:val="4FE8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1109C1"/>
    <w:multiLevelType w:val="hybridMultilevel"/>
    <w:tmpl w:val="C62E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C0E"/>
    <w:rsid w:val="00001579"/>
    <w:rsid w:val="000566D7"/>
    <w:rsid w:val="00093A0E"/>
    <w:rsid w:val="000A525B"/>
    <w:rsid w:val="000C39B1"/>
    <w:rsid w:val="001A054E"/>
    <w:rsid w:val="001B1772"/>
    <w:rsid w:val="00212C0E"/>
    <w:rsid w:val="00231D19"/>
    <w:rsid w:val="00237930"/>
    <w:rsid w:val="0026359D"/>
    <w:rsid w:val="00280077"/>
    <w:rsid w:val="002D73E6"/>
    <w:rsid w:val="002F5FBA"/>
    <w:rsid w:val="00307CBB"/>
    <w:rsid w:val="003525C9"/>
    <w:rsid w:val="00356DA5"/>
    <w:rsid w:val="00365908"/>
    <w:rsid w:val="004B2070"/>
    <w:rsid w:val="004B4F03"/>
    <w:rsid w:val="004E5A7E"/>
    <w:rsid w:val="00521623"/>
    <w:rsid w:val="005B7FBD"/>
    <w:rsid w:val="005C410D"/>
    <w:rsid w:val="00647862"/>
    <w:rsid w:val="00684FEC"/>
    <w:rsid w:val="007256FD"/>
    <w:rsid w:val="007879B9"/>
    <w:rsid w:val="007A4050"/>
    <w:rsid w:val="0081575A"/>
    <w:rsid w:val="008222D2"/>
    <w:rsid w:val="00842A26"/>
    <w:rsid w:val="008708A9"/>
    <w:rsid w:val="008734D4"/>
    <w:rsid w:val="00893E22"/>
    <w:rsid w:val="00894214"/>
    <w:rsid w:val="00980B8E"/>
    <w:rsid w:val="0098384F"/>
    <w:rsid w:val="009961ED"/>
    <w:rsid w:val="009C5471"/>
    <w:rsid w:val="009E71DB"/>
    <w:rsid w:val="009F2514"/>
    <w:rsid w:val="00A510CA"/>
    <w:rsid w:val="00A62AB1"/>
    <w:rsid w:val="00B32E3B"/>
    <w:rsid w:val="00B41D9A"/>
    <w:rsid w:val="00BC6870"/>
    <w:rsid w:val="00BC7973"/>
    <w:rsid w:val="00BD0B2C"/>
    <w:rsid w:val="00C05A03"/>
    <w:rsid w:val="00C321AA"/>
    <w:rsid w:val="00C34E0B"/>
    <w:rsid w:val="00C67B57"/>
    <w:rsid w:val="00C7600A"/>
    <w:rsid w:val="00C9353C"/>
    <w:rsid w:val="00CA2257"/>
    <w:rsid w:val="00CD05B8"/>
    <w:rsid w:val="00D07B7C"/>
    <w:rsid w:val="00D7758E"/>
    <w:rsid w:val="00DD5DAB"/>
    <w:rsid w:val="00E07688"/>
    <w:rsid w:val="00F07E1F"/>
    <w:rsid w:val="00F3020F"/>
    <w:rsid w:val="00F35FA2"/>
    <w:rsid w:val="00F445C2"/>
    <w:rsid w:val="00FC2D20"/>
    <w:rsid w:val="00FC327E"/>
    <w:rsid w:val="00FC6416"/>
    <w:rsid w:val="00FE0C59"/>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ascii="Times New Roman" w:eastAsia="Times New Roman" w:hAnsi="Times New Roman"/>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qFormat/>
    <w:pPr>
      <w:ind w:left="720"/>
      <w:contextualSpacing/>
    </w:pPr>
  </w:style>
  <w:style w:type="paragraph" w:customStyle="1" w:styleId="Level1">
    <w:name w:val="Level 1"/>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Hyperlink">
    <w:name w:val="Hyperlink"/>
    <w:semiHidden/>
    <w:rPr>
      <w:color w:val="0000FF"/>
      <w:u w:val="single"/>
    </w:rPr>
  </w:style>
  <w:style w:type="paragraph" w:styleId="Footer">
    <w:name w:val="footer"/>
    <w:basedOn w:val="Normal"/>
    <w:link w:val="FooterChar"/>
    <w:uiPriority w:val="99"/>
    <w:unhideWhenUsed/>
    <w:rsid w:val="00212C0E"/>
    <w:pPr>
      <w:tabs>
        <w:tab w:val="center" w:pos="4320"/>
        <w:tab w:val="right" w:pos="8640"/>
      </w:tabs>
    </w:pPr>
  </w:style>
  <w:style w:type="character" w:customStyle="1" w:styleId="FooterChar">
    <w:name w:val="Footer Char"/>
    <w:link w:val="Footer"/>
    <w:uiPriority w:val="99"/>
    <w:rsid w:val="00212C0E"/>
    <w:rPr>
      <w:rFonts w:ascii="Times New Roman" w:eastAsia="Times New Roman" w:hAnsi="Times New Roman"/>
      <w:noProof/>
      <w:szCs w:val="24"/>
    </w:rPr>
  </w:style>
  <w:style w:type="character" w:customStyle="1" w:styleId="HeaderChar">
    <w:name w:val="Header Char"/>
    <w:link w:val="Header"/>
    <w:uiPriority w:val="99"/>
    <w:rsid w:val="001A054E"/>
    <w:rPr>
      <w:rFonts w:ascii="Times New Roman" w:eastAsia="Times New Roman" w:hAnsi="Times New Roman"/>
      <w:noProof/>
      <w:szCs w:val="24"/>
    </w:rPr>
  </w:style>
  <w:style w:type="paragraph" w:styleId="ListParagraph">
    <w:name w:val="List Paragraph"/>
    <w:basedOn w:val="Normal"/>
    <w:uiPriority w:val="34"/>
    <w:qFormat/>
    <w:rsid w:val="00A62AB1"/>
    <w:pPr>
      <w:widowControl/>
      <w:autoSpaceDE/>
      <w:autoSpaceDN/>
      <w:adjustRightInd/>
      <w:spacing w:after="200" w:line="276" w:lineRule="auto"/>
      <w:ind w:left="720"/>
      <w:contextualSpacing/>
    </w:pPr>
    <w:rPr>
      <w:rFonts w:ascii="Calibri" w:eastAsia="Calibri" w:hAnsi="Calibri"/>
      <w:noProof w:val="0"/>
      <w:sz w:val="22"/>
      <w:szCs w:val="22"/>
    </w:rPr>
  </w:style>
  <w:style w:type="paragraph" w:styleId="NormalWeb">
    <w:name w:val="Normal (Web)"/>
    <w:basedOn w:val="Normal"/>
    <w:uiPriority w:val="99"/>
    <w:unhideWhenUsed/>
    <w:rsid w:val="00BD0B2C"/>
    <w:pPr>
      <w:widowControl/>
      <w:autoSpaceDE/>
      <w:autoSpaceDN/>
      <w:adjustRightInd/>
      <w:spacing w:before="100" w:beforeAutospacing="1" w:after="100" w:afterAutospacing="1"/>
    </w:pPr>
    <w:rPr>
      <w:rFonts w:ascii="Times" w:eastAsia="MS Mincho" w:hAnsi="Times"/>
      <w:noProof w:val="0"/>
      <w:szCs w:val="20"/>
    </w:rPr>
  </w:style>
  <w:style w:type="paragraph" w:styleId="BalloonText">
    <w:name w:val="Balloon Text"/>
    <w:basedOn w:val="Normal"/>
    <w:link w:val="BalloonTextChar"/>
    <w:uiPriority w:val="99"/>
    <w:semiHidden/>
    <w:unhideWhenUsed/>
    <w:rsid w:val="00FE0C59"/>
    <w:rPr>
      <w:rFonts w:ascii="Tahoma" w:hAnsi="Tahoma" w:cs="Tahoma"/>
      <w:sz w:val="16"/>
      <w:szCs w:val="16"/>
    </w:rPr>
  </w:style>
  <w:style w:type="character" w:customStyle="1" w:styleId="BalloonTextChar">
    <w:name w:val="Balloon Text Char"/>
    <w:link w:val="BalloonText"/>
    <w:uiPriority w:val="99"/>
    <w:semiHidden/>
    <w:rsid w:val="00FE0C59"/>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23803">
      <w:bodyDiv w:val="1"/>
      <w:marLeft w:val="0"/>
      <w:marRight w:val="0"/>
      <w:marTop w:val="0"/>
      <w:marBottom w:val="0"/>
      <w:divBdr>
        <w:top w:val="none" w:sz="0" w:space="0" w:color="auto"/>
        <w:left w:val="none" w:sz="0" w:space="0" w:color="auto"/>
        <w:bottom w:val="none" w:sz="0" w:space="0" w:color="auto"/>
        <w:right w:val="none" w:sz="0" w:space="0" w:color="auto"/>
      </w:divBdr>
    </w:div>
    <w:div w:id="176830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horejsi@cox.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BE3B-25A5-4A1F-A546-608335EF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ACTION  LINKING  TOGETHER</vt:lpstr>
    </vt:vector>
  </TitlesOfParts>
  <Company>Grizli777</Company>
  <LinksUpToDate>false</LinksUpToDate>
  <CharactersWithSpaces>2501</CharactersWithSpaces>
  <SharedDoc>false</SharedDoc>
  <HLinks>
    <vt:vector size="12" baseType="variant">
      <vt:variant>
        <vt:i4>1376294</vt:i4>
      </vt:variant>
      <vt:variant>
        <vt:i4>0</vt:i4>
      </vt:variant>
      <vt:variant>
        <vt:i4>0</vt:i4>
      </vt:variant>
      <vt:variant>
        <vt:i4>5</vt:i4>
      </vt:variant>
      <vt:variant>
        <vt:lpwstr>mailto:jhorejsi@cox.net</vt:lpwstr>
      </vt:variant>
      <vt:variant>
        <vt:lpwstr/>
      </vt:variant>
      <vt:variant>
        <vt:i4>983107</vt:i4>
      </vt:variant>
      <vt:variant>
        <vt:i4>-1</vt:i4>
      </vt:variant>
      <vt:variant>
        <vt:i4>2050</vt:i4>
      </vt:variant>
      <vt:variant>
        <vt:i4>1</vt:i4>
      </vt:variant>
      <vt:variant>
        <vt:lpwstr>http://www.s-a-l-t.org/templates/eys/images/salt_logo_large.gif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ACTION  LINKING  TOGETHER</dc:title>
  <dc:creator>Catholic</dc:creator>
  <cp:lastModifiedBy>John</cp:lastModifiedBy>
  <cp:revision>8</cp:revision>
  <cp:lastPrinted>2016-12-19T17:10:00Z</cp:lastPrinted>
  <dcterms:created xsi:type="dcterms:W3CDTF">2016-12-19T16:18:00Z</dcterms:created>
  <dcterms:modified xsi:type="dcterms:W3CDTF">2017-05-08T21:44:00Z</dcterms:modified>
</cp:coreProperties>
</file>